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AC595" w14:textId="530788B2" w:rsidR="00A56736" w:rsidRPr="00850CD9" w:rsidRDefault="00850CD9" w:rsidP="00A56736">
      <w:pPr>
        <w:pStyle w:val="Heading1"/>
        <w:pBdr>
          <w:bottom w:val="single" w:sz="6" w:space="1" w:color="auto"/>
        </w:pBdr>
        <w:rPr>
          <w:rFonts w:ascii="Myriad Pro" w:hAnsi="Myriad Pro"/>
          <w:sz w:val="44"/>
          <w:szCs w:val="44"/>
        </w:rPr>
      </w:pPr>
      <w:r w:rsidRPr="00850CD9">
        <w:rPr>
          <w:rFonts w:ascii="Myriad Pro" w:hAnsi="Myriad Pro"/>
          <w:sz w:val="44"/>
          <w:szCs w:val="44"/>
        </w:rPr>
        <w:t>Course Map</w:t>
      </w:r>
    </w:p>
    <w:p w14:paraId="5FEEE1FA" w14:textId="7A832AFF" w:rsidR="00850CD9" w:rsidRPr="00850CD9" w:rsidRDefault="00850CD9" w:rsidP="00850CD9">
      <w:pPr>
        <w:rPr>
          <w:rFonts w:ascii="Myriad Pro" w:hAnsi="Myriad Pro"/>
        </w:rPr>
      </w:pPr>
      <w:r w:rsidRPr="00850CD9">
        <w:rPr>
          <w:rFonts w:ascii="Myriad Pro" w:hAnsi="Myriad Pro"/>
        </w:rPr>
        <w:t>A course map organizes the structure of a course around the modules identified. The process of mapping a course works backwards</w:t>
      </w:r>
      <w:r w:rsidR="0035536D">
        <w:rPr>
          <w:rFonts w:ascii="Myriad Pro" w:hAnsi="Myriad Pro"/>
        </w:rPr>
        <w:t>,</w:t>
      </w:r>
      <w:r w:rsidRPr="00850CD9">
        <w:rPr>
          <w:rFonts w:ascii="Myriad Pro" w:hAnsi="Myriad Pro"/>
        </w:rPr>
        <w:t xml:space="preserve"> beginning</w:t>
      </w:r>
      <w:r w:rsidR="0035536D">
        <w:rPr>
          <w:rFonts w:ascii="Myriad Pro" w:hAnsi="Myriad Pro"/>
        </w:rPr>
        <w:t xml:space="preserve"> with</w:t>
      </w:r>
      <w:r w:rsidRPr="00850CD9">
        <w:rPr>
          <w:rFonts w:ascii="Myriad Pro" w:hAnsi="Myriad Pro"/>
        </w:rPr>
        <w:t xml:space="preserve"> the desired learning outcome first. Then, consider how the instructor will evaluate whether learners have achieved the outcome. Plan the activities and instructional content that will help students develop the skills, knowledge, and behaviors that demonstration acquisition of the desired outcome. And lastly, identify the tools necessary for delivering or completing the materials and activities.</w:t>
      </w:r>
    </w:p>
    <w:p w14:paraId="713C2993" w14:textId="0839188B" w:rsidR="00656B6B" w:rsidRPr="00850CD9" w:rsidRDefault="00656B6B" w:rsidP="00656B6B">
      <w:pPr>
        <w:pStyle w:val="Heading1"/>
        <w:rPr>
          <w:rFonts w:ascii="Myriad Pro" w:hAnsi="Myriad Pro"/>
        </w:rPr>
      </w:pPr>
      <w:r w:rsidRPr="00850CD9">
        <w:rPr>
          <w:rFonts w:ascii="Myriad Pro" w:hAnsi="Myriad Pro"/>
        </w:rPr>
        <w:t>Learning Outcomes</w:t>
      </w:r>
    </w:p>
    <w:p w14:paraId="116F3AF4" w14:textId="08F07CFE" w:rsidR="00656B6B" w:rsidRPr="00A56736" w:rsidRDefault="00656B6B" w:rsidP="00656B6B">
      <w:pPr>
        <w:rPr>
          <w:rFonts w:ascii="Myriad Pro" w:hAnsi="Myriad Pro"/>
        </w:rPr>
      </w:pPr>
      <w:r w:rsidRPr="00A56736">
        <w:rPr>
          <w:rFonts w:ascii="Myriad Pro" w:hAnsi="Myriad Pro"/>
        </w:rPr>
        <w:t xml:space="preserve">Learning Outcomes describe measurable skills that students </w:t>
      </w:r>
      <w:r w:rsidR="00A56736" w:rsidRPr="00A56736">
        <w:rPr>
          <w:rFonts w:ascii="Myriad Pro" w:hAnsi="Myriad Pro"/>
        </w:rPr>
        <w:t>achieve</w:t>
      </w:r>
      <w:r w:rsidRPr="00A56736">
        <w:rPr>
          <w:rFonts w:ascii="Myriad Pro" w:hAnsi="Myriad Pro"/>
        </w:rPr>
        <w:t xml:space="preserve"> and can demonstrate upon successful</w:t>
      </w:r>
      <w:r w:rsidR="00A56736" w:rsidRPr="00A56736">
        <w:rPr>
          <w:rFonts w:ascii="Myriad Pro" w:hAnsi="Myriad Pro"/>
        </w:rPr>
        <w:t xml:space="preserve"> </w:t>
      </w:r>
      <w:r w:rsidRPr="00A56736">
        <w:rPr>
          <w:rFonts w:ascii="Myriad Pro" w:hAnsi="Myriad Pro"/>
        </w:rPr>
        <w:t>completi</w:t>
      </w:r>
      <w:r w:rsidR="00A56736" w:rsidRPr="00A56736">
        <w:rPr>
          <w:rFonts w:ascii="Myriad Pro" w:hAnsi="Myriad Pro"/>
        </w:rPr>
        <w:t>on of</w:t>
      </w:r>
      <w:r w:rsidRPr="00A56736">
        <w:rPr>
          <w:rFonts w:ascii="Myriad Pro" w:hAnsi="Myriad Pro"/>
        </w:rPr>
        <w:t xml:space="preserve"> a course. Course learning outcomes </w:t>
      </w:r>
      <w:r w:rsidR="00A56736" w:rsidRPr="00A56736">
        <w:rPr>
          <w:rFonts w:ascii="Myriad Pro" w:hAnsi="Myriad Pro"/>
        </w:rPr>
        <w:t>align with program competencies and are specific and measurable.</w:t>
      </w:r>
    </w:p>
    <w:tbl>
      <w:tblPr>
        <w:tblStyle w:val="TableGrid"/>
        <w:tblW w:w="12980" w:type="dxa"/>
        <w:tblLook w:val="04A0" w:firstRow="1" w:lastRow="0" w:firstColumn="1" w:lastColumn="0" w:noHBand="0" w:noVBand="1"/>
      </w:tblPr>
      <w:tblGrid>
        <w:gridCol w:w="6490"/>
        <w:gridCol w:w="6490"/>
      </w:tblGrid>
      <w:tr w:rsidR="00656B6B" w:rsidRPr="00656B6B" w14:paraId="352F7C28" w14:textId="77777777" w:rsidTr="0035536D">
        <w:trPr>
          <w:trHeight w:val="458"/>
        </w:trPr>
        <w:tc>
          <w:tcPr>
            <w:tcW w:w="6490" w:type="dxa"/>
            <w:shd w:val="clear" w:color="auto" w:fill="D9D9D9" w:themeFill="background1" w:themeFillShade="D9"/>
            <w:vAlign w:val="center"/>
          </w:tcPr>
          <w:p w14:paraId="0E1A19AD" w14:textId="660E041F" w:rsidR="00656B6B" w:rsidRPr="00850CD9" w:rsidRDefault="00656B6B" w:rsidP="00656B6B">
            <w:pPr>
              <w:jc w:val="center"/>
              <w:rPr>
                <w:rFonts w:ascii="Myriad Pro" w:hAnsi="Myriad Pro"/>
                <w:sz w:val="24"/>
                <w:szCs w:val="24"/>
              </w:rPr>
            </w:pPr>
            <w:r w:rsidRPr="00850CD9">
              <w:rPr>
                <w:rFonts w:ascii="Myriad Pro" w:hAnsi="Myriad Pro"/>
                <w:sz w:val="24"/>
                <w:szCs w:val="24"/>
              </w:rPr>
              <w:t>Learning Outcome</w:t>
            </w:r>
          </w:p>
        </w:tc>
        <w:tc>
          <w:tcPr>
            <w:tcW w:w="6490" w:type="dxa"/>
            <w:shd w:val="clear" w:color="auto" w:fill="D9D9D9" w:themeFill="background1" w:themeFillShade="D9"/>
            <w:vAlign w:val="center"/>
          </w:tcPr>
          <w:p w14:paraId="1A57CBBB" w14:textId="4A618AED" w:rsidR="00656B6B" w:rsidRPr="00850CD9" w:rsidRDefault="00656B6B" w:rsidP="00656B6B">
            <w:pPr>
              <w:jc w:val="center"/>
              <w:rPr>
                <w:rFonts w:ascii="Myriad Pro" w:hAnsi="Myriad Pro"/>
                <w:sz w:val="24"/>
                <w:szCs w:val="24"/>
              </w:rPr>
            </w:pPr>
            <w:r w:rsidRPr="00850CD9">
              <w:rPr>
                <w:rFonts w:ascii="Myriad Pro" w:hAnsi="Myriad Pro"/>
                <w:sz w:val="24"/>
                <w:szCs w:val="24"/>
              </w:rPr>
              <w:t>Aligning Competency</w:t>
            </w:r>
          </w:p>
        </w:tc>
      </w:tr>
      <w:tr w:rsidR="00656B6B" w:rsidRPr="00656B6B" w14:paraId="459F47DD" w14:textId="77777777" w:rsidTr="00656B6B">
        <w:trPr>
          <w:trHeight w:val="404"/>
        </w:trPr>
        <w:tc>
          <w:tcPr>
            <w:tcW w:w="6490" w:type="dxa"/>
          </w:tcPr>
          <w:p w14:paraId="79BADF59" w14:textId="77777777" w:rsidR="00656B6B" w:rsidRPr="00656B6B" w:rsidRDefault="00656B6B" w:rsidP="00656B6B">
            <w:pPr>
              <w:rPr>
                <w:rFonts w:ascii="Myriad Pro" w:hAnsi="Myriad Pro"/>
              </w:rPr>
            </w:pPr>
          </w:p>
        </w:tc>
        <w:tc>
          <w:tcPr>
            <w:tcW w:w="6490" w:type="dxa"/>
          </w:tcPr>
          <w:p w14:paraId="11174ADA" w14:textId="77777777" w:rsidR="00656B6B" w:rsidRPr="00656B6B" w:rsidRDefault="00656B6B" w:rsidP="00656B6B">
            <w:pPr>
              <w:rPr>
                <w:rFonts w:ascii="Myriad Pro" w:hAnsi="Myriad Pro"/>
              </w:rPr>
            </w:pPr>
          </w:p>
        </w:tc>
      </w:tr>
      <w:tr w:rsidR="00656B6B" w:rsidRPr="00656B6B" w14:paraId="3731F26D" w14:textId="77777777" w:rsidTr="00656B6B">
        <w:trPr>
          <w:trHeight w:val="404"/>
        </w:trPr>
        <w:tc>
          <w:tcPr>
            <w:tcW w:w="6490" w:type="dxa"/>
          </w:tcPr>
          <w:p w14:paraId="0A94CBBF" w14:textId="77777777" w:rsidR="00656B6B" w:rsidRPr="00656B6B" w:rsidRDefault="00656B6B" w:rsidP="00656B6B">
            <w:pPr>
              <w:rPr>
                <w:rFonts w:ascii="Myriad Pro" w:hAnsi="Myriad Pro"/>
              </w:rPr>
            </w:pPr>
          </w:p>
        </w:tc>
        <w:tc>
          <w:tcPr>
            <w:tcW w:w="6490" w:type="dxa"/>
          </w:tcPr>
          <w:p w14:paraId="0959056E" w14:textId="77777777" w:rsidR="00656B6B" w:rsidRPr="00656B6B" w:rsidRDefault="00656B6B" w:rsidP="00656B6B">
            <w:pPr>
              <w:rPr>
                <w:rFonts w:ascii="Myriad Pro" w:hAnsi="Myriad Pro"/>
              </w:rPr>
            </w:pPr>
          </w:p>
        </w:tc>
      </w:tr>
    </w:tbl>
    <w:p w14:paraId="1611B0F5" w14:textId="64B17ACC" w:rsidR="00656B6B" w:rsidRPr="00850CD9" w:rsidRDefault="00850CD9" w:rsidP="00850CD9">
      <w:pPr>
        <w:pStyle w:val="Heading1"/>
        <w:rPr>
          <w:rFonts w:ascii="Myriad Pro" w:hAnsi="Myriad Pro"/>
        </w:rPr>
      </w:pPr>
      <w:r w:rsidRPr="00850CD9">
        <w:rPr>
          <w:rFonts w:ascii="Myriad Pro" w:hAnsi="Myriad Pro"/>
        </w:rPr>
        <w:t>Map</w:t>
      </w:r>
    </w:p>
    <w:tbl>
      <w:tblPr>
        <w:tblStyle w:val="TableGrid"/>
        <w:tblW w:w="13124" w:type="dxa"/>
        <w:tblLook w:val="04A0" w:firstRow="1" w:lastRow="0" w:firstColumn="1" w:lastColumn="0" w:noHBand="0" w:noVBand="1"/>
      </w:tblPr>
      <w:tblGrid>
        <w:gridCol w:w="2181"/>
        <w:gridCol w:w="2182"/>
        <w:gridCol w:w="2184"/>
        <w:gridCol w:w="2181"/>
        <w:gridCol w:w="2216"/>
        <w:gridCol w:w="2180"/>
      </w:tblGrid>
      <w:tr w:rsidR="00850CD9" w14:paraId="08DD3F7E" w14:textId="77777777" w:rsidTr="0035536D">
        <w:trPr>
          <w:trHeight w:val="656"/>
        </w:trPr>
        <w:tc>
          <w:tcPr>
            <w:tcW w:w="2181" w:type="dxa"/>
            <w:shd w:val="clear" w:color="auto" w:fill="D9D9D9" w:themeFill="background1" w:themeFillShade="D9"/>
            <w:vAlign w:val="center"/>
          </w:tcPr>
          <w:p w14:paraId="67DAFC21" w14:textId="122B3D21" w:rsidR="00A56736" w:rsidRPr="0035536D" w:rsidRDefault="00A56736" w:rsidP="00A56736">
            <w:pPr>
              <w:jc w:val="center"/>
              <w:rPr>
                <w:rFonts w:ascii="Myriad Pro" w:hAnsi="Myriad Pro"/>
                <w:sz w:val="24"/>
                <w:szCs w:val="24"/>
              </w:rPr>
            </w:pPr>
            <w:r w:rsidRPr="0035536D">
              <w:rPr>
                <w:rFonts w:ascii="Myriad Pro" w:hAnsi="Myriad Pro"/>
                <w:sz w:val="24"/>
                <w:szCs w:val="24"/>
              </w:rPr>
              <w:t>Module Title</w:t>
            </w:r>
          </w:p>
        </w:tc>
        <w:tc>
          <w:tcPr>
            <w:tcW w:w="2182" w:type="dxa"/>
            <w:shd w:val="clear" w:color="auto" w:fill="D9D9D9" w:themeFill="background1" w:themeFillShade="D9"/>
            <w:vAlign w:val="center"/>
          </w:tcPr>
          <w:p w14:paraId="570763AA" w14:textId="4D7E272D" w:rsidR="00A56736" w:rsidRPr="0035536D" w:rsidRDefault="00A56736" w:rsidP="00A56736">
            <w:pPr>
              <w:jc w:val="center"/>
              <w:rPr>
                <w:rFonts w:ascii="Myriad Pro" w:hAnsi="Myriad Pro"/>
                <w:sz w:val="24"/>
                <w:szCs w:val="24"/>
              </w:rPr>
            </w:pPr>
            <w:r w:rsidRPr="0035536D">
              <w:rPr>
                <w:rFonts w:ascii="Myriad Pro" w:hAnsi="Myriad Pro"/>
                <w:sz w:val="24"/>
                <w:szCs w:val="24"/>
              </w:rPr>
              <w:t>Outcome</w:t>
            </w:r>
            <w:r w:rsidR="001C2A45">
              <w:rPr>
                <w:rFonts w:ascii="Myriad Pro" w:hAnsi="Myriad Pro"/>
                <w:sz w:val="24"/>
                <w:szCs w:val="24"/>
              </w:rPr>
              <w:t>s</w:t>
            </w:r>
          </w:p>
        </w:tc>
        <w:tc>
          <w:tcPr>
            <w:tcW w:w="2184" w:type="dxa"/>
            <w:shd w:val="clear" w:color="auto" w:fill="D9D9D9" w:themeFill="background1" w:themeFillShade="D9"/>
            <w:vAlign w:val="center"/>
          </w:tcPr>
          <w:p w14:paraId="51875D41" w14:textId="45BF21B0" w:rsidR="00A56736" w:rsidRPr="0035536D" w:rsidRDefault="00A56736" w:rsidP="00A56736">
            <w:pPr>
              <w:jc w:val="center"/>
              <w:rPr>
                <w:rFonts w:ascii="Myriad Pro" w:hAnsi="Myriad Pro"/>
                <w:sz w:val="24"/>
                <w:szCs w:val="24"/>
              </w:rPr>
            </w:pPr>
            <w:r w:rsidRPr="0035536D">
              <w:rPr>
                <w:rFonts w:ascii="Myriad Pro" w:hAnsi="Myriad Pro"/>
                <w:sz w:val="24"/>
                <w:szCs w:val="24"/>
              </w:rPr>
              <w:t>Assessment</w:t>
            </w:r>
          </w:p>
        </w:tc>
        <w:tc>
          <w:tcPr>
            <w:tcW w:w="2181" w:type="dxa"/>
            <w:shd w:val="clear" w:color="auto" w:fill="D9D9D9" w:themeFill="background1" w:themeFillShade="D9"/>
            <w:vAlign w:val="center"/>
          </w:tcPr>
          <w:p w14:paraId="5111610D" w14:textId="5EDAE77C" w:rsidR="00A56736" w:rsidRPr="0035536D" w:rsidRDefault="00A56736" w:rsidP="00A56736">
            <w:pPr>
              <w:jc w:val="center"/>
              <w:rPr>
                <w:rFonts w:ascii="Myriad Pro" w:hAnsi="Myriad Pro"/>
                <w:sz w:val="24"/>
                <w:szCs w:val="24"/>
              </w:rPr>
            </w:pPr>
            <w:r w:rsidRPr="0035536D">
              <w:rPr>
                <w:rFonts w:ascii="Myriad Pro" w:hAnsi="Myriad Pro"/>
                <w:sz w:val="24"/>
                <w:szCs w:val="24"/>
              </w:rPr>
              <w:t>Activity</w:t>
            </w:r>
          </w:p>
        </w:tc>
        <w:tc>
          <w:tcPr>
            <w:tcW w:w="2216" w:type="dxa"/>
            <w:shd w:val="clear" w:color="auto" w:fill="D9D9D9" w:themeFill="background1" w:themeFillShade="D9"/>
            <w:vAlign w:val="center"/>
          </w:tcPr>
          <w:p w14:paraId="22C512C8" w14:textId="6FAE1870" w:rsidR="00A56736" w:rsidRPr="0035536D" w:rsidRDefault="00A56736" w:rsidP="00A56736">
            <w:pPr>
              <w:jc w:val="center"/>
              <w:rPr>
                <w:rFonts w:ascii="Myriad Pro" w:hAnsi="Myriad Pro"/>
                <w:sz w:val="24"/>
                <w:szCs w:val="24"/>
              </w:rPr>
            </w:pPr>
            <w:r w:rsidRPr="0035536D">
              <w:rPr>
                <w:rFonts w:ascii="Myriad Pro" w:hAnsi="Myriad Pro"/>
                <w:sz w:val="24"/>
                <w:szCs w:val="24"/>
              </w:rPr>
              <w:t>Instructional Material/Content</w:t>
            </w:r>
          </w:p>
        </w:tc>
        <w:tc>
          <w:tcPr>
            <w:tcW w:w="2180" w:type="dxa"/>
            <w:shd w:val="clear" w:color="auto" w:fill="D9D9D9" w:themeFill="background1" w:themeFillShade="D9"/>
            <w:vAlign w:val="center"/>
          </w:tcPr>
          <w:p w14:paraId="7D6E3B13" w14:textId="6D690BE5" w:rsidR="00A56736" w:rsidRPr="0035536D" w:rsidRDefault="00A56736" w:rsidP="00A56736">
            <w:pPr>
              <w:jc w:val="center"/>
              <w:rPr>
                <w:rFonts w:ascii="Myriad Pro" w:hAnsi="Myriad Pro"/>
                <w:sz w:val="24"/>
                <w:szCs w:val="24"/>
              </w:rPr>
            </w:pPr>
            <w:r w:rsidRPr="0035536D">
              <w:rPr>
                <w:rFonts w:ascii="Myriad Pro" w:hAnsi="Myriad Pro"/>
                <w:sz w:val="24"/>
                <w:szCs w:val="24"/>
              </w:rPr>
              <w:t>Tools</w:t>
            </w:r>
          </w:p>
        </w:tc>
      </w:tr>
      <w:tr w:rsidR="0035536D" w14:paraId="09190EAC" w14:textId="77777777" w:rsidTr="0035536D">
        <w:trPr>
          <w:trHeight w:val="1196"/>
        </w:trPr>
        <w:tc>
          <w:tcPr>
            <w:tcW w:w="2181" w:type="dxa"/>
            <w:shd w:val="clear" w:color="auto" w:fill="DEEAF6" w:themeFill="accent5" w:themeFillTint="33"/>
          </w:tcPr>
          <w:p w14:paraId="2AD9745B" w14:textId="554EDC96" w:rsidR="00A56736" w:rsidRPr="0035536D" w:rsidRDefault="00A56736" w:rsidP="00656B6B">
            <w:pPr>
              <w:rPr>
                <w:rFonts w:ascii="Myriad Pro" w:hAnsi="Myriad Pro"/>
                <w:sz w:val="20"/>
                <w:szCs w:val="20"/>
              </w:rPr>
            </w:pPr>
            <w:r w:rsidRPr="0035536D">
              <w:rPr>
                <w:rFonts w:ascii="Myriad Pro" w:hAnsi="Myriad Pro"/>
                <w:sz w:val="20"/>
                <w:szCs w:val="20"/>
              </w:rPr>
              <w:t xml:space="preserve">Each module/unit/ theme is a focus area, </w:t>
            </w:r>
            <w:r w:rsidR="0035536D">
              <w:rPr>
                <w:rFonts w:ascii="Myriad Pro" w:hAnsi="Myriad Pro"/>
                <w:sz w:val="20"/>
                <w:szCs w:val="20"/>
              </w:rPr>
              <w:t>providing the</w:t>
            </w:r>
            <w:r w:rsidRPr="0035536D">
              <w:rPr>
                <w:rFonts w:ascii="Myriad Pro" w:hAnsi="Myriad Pro"/>
                <w:sz w:val="20"/>
                <w:szCs w:val="20"/>
              </w:rPr>
              <w:t xml:space="preserve"> structure and framework for the course.</w:t>
            </w:r>
          </w:p>
        </w:tc>
        <w:tc>
          <w:tcPr>
            <w:tcW w:w="2182" w:type="dxa"/>
            <w:shd w:val="clear" w:color="auto" w:fill="DEEAF6" w:themeFill="accent5" w:themeFillTint="33"/>
          </w:tcPr>
          <w:p w14:paraId="735187A5" w14:textId="599C8626" w:rsidR="00A56736" w:rsidRDefault="0035536D" w:rsidP="00656B6B">
            <w:r>
              <w:t>What will students be able to do at the end of this module?</w:t>
            </w:r>
          </w:p>
        </w:tc>
        <w:tc>
          <w:tcPr>
            <w:tcW w:w="2184" w:type="dxa"/>
            <w:shd w:val="clear" w:color="auto" w:fill="DEEAF6" w:themeFill="accent5" w:themeFillTint="33"/>
          </w:tcPr>
          <w:p w14:paraId="19CDB4D0" w14:textId="11021D69" w:rsidR="00A56736" w:rsidRDefault="0035536D" w:rsidP="00656B6B">
            <w:r>
              <w:t>How will instructors evaluate whether the stated outcome has been achieved?</w:t>
            </w:r>
          </w:p>
        </w:tc>
        <w:tc>
          <w:tcPr>
            <w:tcW w:w="2181" w:type="dxa"/>
            <w:shd w:val="clear" w:color="auto" w:fill="DEEAF6" w:themeFill="accent5" w:themeFillTint="33"/>
          </w:tcPr>
          <w:p w14:paraId="039E4A63" w14:textId="3C4063EB" w:rsidR="00A56736" w:rsidRDefault="0035536D" w:rsidP="00656B6B">
            <w:r>
              <w:t>How will students build fluency required to meet expectations?</w:t>
            </w:r>
          </w:p>
        </w:tc>
        <w:tc>
          <w:tcPr>
            <w:tcW w:w="2216" w:type="dxa"/>
            <w:shd w:val="clear" w:color="auto" w:fill="DEEAF6" w:themeFill="accent5" w:themeFillTint="33"/>
          </w:tcPr>
          <w:p w14:paraId="6A985BA1" w14:textId="5C30ABDA" w:rsidR="00A56736" w:rsidRDefault="0035536D" w:rsidP="00656B6B">
            <w:r>
              <w:t>What content will help students build a foundation?</w:t>
            </w:r>
          </w:p>
        </w:tc>
        <w:tc>
          <w:tcPr>
            <w:tcW w:w="2180" w:type="dxa"/>
            <w:shd w:val="clear" w:color="auto" w:fill="DEEAF6" w:themeFill="accent5" w:themeFillTint="33"/>
          </w:tcPr>
          <w:p w14:paraId="72001B02" w14:textId="3452390F" w:rsidR="00A56736" w:rsidRDefault="0035536D" w:rsidP="00656B6B">
            <w:r>
              <w:t>What is used to create content, facilitate interaction, produce artifacts?</w:t>
            </w:r>
          </w:p>
        </w:tc>
      </w:tr>
      <w:tr w:rsidR="00A56736" w14:paraId="7DF0DAD8" w14:textId="77777777" w:rsidTr="00850CD9">
        <w:trPr>
          <w:trHeight w:val="458"/>
        </w:trPr>
        <w:tc>
          <w:tcPr>
            <w:tcW w:w="2181" w:type="dxa"/>
          </w:tcPr>
          <w:p w14:paraId="2154822D" w14:textId="77777777" w:rsidR="00A56736" w:rsidRDefault="00A56736" w:rsidP="00656B6B"/>
        </w:tc>
        <w:tc>
          <w:tcPr>
            <w:tcW w:w="2182" w:type="dxa"/>
          </w:tcPr>
          <w:p w14:paraId="4212B9D6" w14:textId="77777777" w:rsidR="00A56736" w:rsidRDefault="00A56736" w:rsidP="00656B6B"/>
        </w:tc>
        <w:tc>
          <w:tcPr>
            <w:tcW w:w="2184" w:type="dxa"/>
          </w:tcPr>
          <w:p w14:paraId="63701723" w14:textId="77777777" w:rsidR="00A56736" w:rsidRDefault="00A56736" w:rsidP="00656B6B"/>
        </w:tc>
        <w:tc>
          <w:tcPr>
            <w:tcW w:w="2181" w:type="dxa"/>
          </w:tcPr>
          <w:p w14:paraId="5E349618" w14:textId="77777777" w:rsidR="00A56736" w:rsidRDefault="00A56736" w:rsidP="00656B6B"/>
        </w:tc>
        <w:tc>
          <w:tcPr>
            <w:tcW w:w="2216" w:type="dxa"/>
          </w:tcPr>
          <w:p w14:paraId="226F04A4" w14:textId="77777777" w:rsidR="00A56736" w:rsidRDefault="00A56736" w:rsidP="00656B6B"/>
        </w:tc>
        <w:tc>
          <w:tcPr>
            <w:tcW w:w="2180" w:type="dxa"/>
          </w:tcPr>
          <w:p w14:paraId="1811CCF7" w14:textId="77777777" w:rsidR="00A56736" w:rsidRDefault="00A56736" w:rsidP="00656B6B"/>
        </w:tc>
      </w:tr>
      <w:tr w:rsidR="00A56736" w14:paraId="7F9DC1E8" w14:textId="77777777" w:rsidTr="00850CD9">
        <w:trPr>
          <w:trHeight w:val="440"/>
        </w:trPr>
        <w:tc>
          <w:tcPr>
            <w:tcW w:w="2181" w:type="dxa"/>
          </w:tcPr>
          <w:p w14:paraId="1C089CBD" w14:textId="77777777" w:rsidR="00A56736" w:rsidRDefault="00A56736" w:rsidP="00656B6B"/>
        </w:tc>
        <w:tc>
          <w:tcPr>
            <w:tcW w:w="2182" w:type="dxa"/>
          </w:tcPr>
          <w:p w14:paraId="1171B357" w14:textId="77777777" w:rsidR="00A56736" w:rsidRDefault="00A56736" w:rsidP="00656B6B"/>
        </w:tc>
        <w:tc>
          <w:tcPr>
            <w:tcW w:w="2184" w:type="dxa"/>
          </w:tcPr>
          <w:p w14:paraId="51F9B851" w14:textId="77777777" w:rsidR="00A56736" w:rsidRDefault="00A56736" w:rsidP="00656B6B"/>
        </w:tc>
        <w:tc>
          <w:tcPr>
            <w:tcW w:w="2181" w:type="dxa"/>
          </w:tcPr>
          <w:p w14:paraId="7420DF9A" w14:textId="77777777" w:rsidR="00A56736" w:rsidRDefault="00A56736" w:rsidP="00656B6B"/>
        </w:tc>
        <w:tc>
          <w:tcPr>
            <w:tcW w:w="2216" w:type="dxa"/>
          </w:tcPr>
          <w:p w14:paraId="2C2F1188" w14:textId="77777777" w:rsidR="00A56736" w:rsidRDefault="00A56736" w:rsidP="00656B6B"/>
        </w:tc>
        <w:tc>
          <w:tcPr>
            <w:tcW w:w="2180" w:type="dxa"/>
          </w:tcPr>
          <w:p w14:paraId="24C0482E" w14:textId="77777777" w:rsidR="00A56736" w:rsidRDefault="00A56736" w:rsidP="00656B6B"/>
        </w:tc>
      </w:tr>
      <w:tr w:rsidR="0035536D" w14:paraId="5195D7F6" w14:textId="77777777" w:rsidTr="00850CD9">
        <w:trPr>
          <w:trHeight w:val="440"/>
        </w:trPr>
        <w:tc>
          <w:tcPr>
            <w:tcW w:w="2181" w:type="dxa"/>
          </w:tcPr>
          <w:p w14:paraId="6B8D10A9" w14:textId="77777777" w:rsidR="0035536D" w:rsidRDefault="0035536D" w:rsidP="00656B6B"/>
        </w:tc>
        <w:tc>
          <w:tcPr>
            <w:tcW w:w="2182" w:type="dxa"/>
          </w:tcPr>
          <w:p w14:paraId="1DC50E05" w14:textId="77777777" w:rsidR="0035536D" w:rsidRDefault="0035536D" w:rsidP="00656B6B"/>
        </w:tc>
        <w:tc>
          <w:tcPr>
            <w:tcW w:w="2184" w:type="dxa"/>
          </w:tcPr>
          <w:p w14:paraId="2BB79B94" w14:textId="77777777" w:rsidR="0035536D" w:rsidRDefault="0035536D" w:rsidP="00656B6B"/>
        </w:tc>
        <w:tc>
          <w:tcPr>
            <w:tcW w:w="2181" w:type="dxa"/>
          </w:tcPr>
          <w:p w14:paraId="3DD8345D" w14:textId="77777777" w:rsidR="0035536D" w:rsidRDefault="0035536D" w:rsidP="00656B6B"/>
        </w:tc>
        <w:tc>
          <w:tcPr>
            <w:tcW w:w="2216" w:type="dxa"/>
          </w:tcPr>
          <w:p w14:paraId="2A5DA516" w14:textId="77777777" w:rsidR="0035536D" w:rsidRDefault="0035536D" w:rsidP="00656B6B"/>
        </w:tc>
        <w:tc>
          <w:tcPr>
            <w:tcW w:w="2180" w:type="dxa"/>
          </w:tcPr>
          <w:p w14:paraId="6592F38A" w14:textId="77777777" w:rsidR="0035536D" w:rsidRDefault="0035536D" w:rsidP="00656B6B"/>
        </w:tc>
      </w:tr>
    </w:tbl>
    <w:p w14:paraId="1E9FD002" w14:textId="4FA655A1" w:rsidR="007F48B4" w:rsidRDefault="007F48B4" w:rsidP="00A56736">
      <w:bookmarkStart w:id="0" w:name="_GoBack"/>
      <w:bookmarkEnd w:id="0"/>
    </w:p>
    <w:sectPr w:rsidR="007F48B4" w:rsidSect="00656B6B">
      <w:headerReference w:type="default" r:id="rId6"/>
      <w:footerReference w:type="default" r:id="rId7"/>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5900" w14:textId="77777777" w:rsidR="008A2C6A" w:rsidRDefault="008A2C6A" w:rsidP="00656B6B">
      <w:pPr>
        <w:spacing w:after="0" w:line="240" w:lineRule="auto"/>
      </w:pPr>
      <w:r>
        <w:separator/>
      </w:r>
    </w:p>
  </w:endnote>
  <w:endnote w:type="continuationSeparator" w:id="0">
    <w:p w14:paraId="16C24EBA" w14:textId="77777777" w:rsidR="008A2C6A" w:rsidRDefault="008A2C6A" w:rsidP="0065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71C8" w14:textId="192AE1A2" w:rsidR="00A56736" w:rsidRDefault="00A56736" w:rsidP="00A56736">
    <w:pPr>
      <w:pStyle w:val="Footer"/>
      <w:jc w:val="center"/>
    </w:pPr>
    <w:r>
      <w:rPr>
        <w:noProof/>
      </w:rPr>
      <w:drawing>
        <wp:inline distT="0" distB="0" distL="0" distR="0" wp14:anchorId="1D1EC50B" wp14:editId="3E06E0AB">
          <wp:extent cx="883578" cy="775984"/>
          <wp:effectExtent l="0" t="0" r="0" b="508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8793" cy="7805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0DA1" w14:textId="77777777" w:rsidR="008A2C6A" w:rsidRDefault="008A2C6A" w:rsidP="00656B6B">
      <w:pPr>
        <w:spacing w:after="0" w:line="240" w:lineRule="auto"/>
      </w:pPr>
      <w:r>
        <w:separator/>
      </w:r>
    </w:p>
  </w:footnote>
  <w:footnote w:type="continuationSeparator" w:id="0">
    <w:p w14:paraId="74511A1F" w14:textId="77777777" w:rsidR="008A2C6A" w:rsidRDefault="008A2C6A" w:rsidP="0065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00AC" w14:textId="1339AB1C" w:rsidR="00656B6B" w:rsidRDefault="00656B6B" w:rsidP="00656B6B">
    <w:pPr>
      <w:pStyle w:val="Header"/>
      <w:jc w:val="right"/>
    </w:pPr>
    <w:r>
      <w:rPr>
        <w:noProof/>
      </w:rPr>
      <w:drawing>
        <wp:inline distT="0" distB="0" distL="0" distR="0" wp14:anchorId="26661E6D" wp14:editId="36A9F97D">
          <wp:extent cx="1297940" cy="24765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247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6B"/>
    <w:rsid w:val="001313AA"/>
    <w:rsid w:val="001C2A45"/>
    <w:rsid w:val="0035536D"/>
    <w:rsid w:val="005D4F4A"/>
    <w:rsid w:val="00656B6B"/>
    <w:rsid w:val="006F0C67"/>
    <w:rsid w:val="007F48B4"/>
    <w:rsid w:val="00850CD9"/>
    <w:rsid w:val="008A2C6A"/>
    <w:rsid w:val="00A5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F7909"/>
  <w15:chartTrackingRefBased/>
  <w15:docId w15:val="{FBC6919D-65DA-423C-943B-6012EA44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B6B"/>
  </w:style>
  <w:style w:type="paragraph" w:styleId="Footer">
    <w:name w:val="footer"/>
    <w:basedOn w:val="Normal"/>
    <w:link w:val="FooterChar"/>
    <w:uiPriority w:val="99"/>
    <w:unhideWhenUsed/>
    <w:rsid w:val="0065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6B"/>
  </w:style>
  <w:style w:type="character" w:customStyle="1" w:styleId="Heading1Char">
    <w:name w:val="Heading 1 Char"/>
    <w:basedOn w:val="DefaultParagraphFont"/>
    <w:link w:val="Heading1"/>
    <w:uiPriority w:val="9"/>
    <w:rsid w:val="00656B6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5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dc:creator>
  <cp:keywords/>
  <dc:description/>
  <cp:lastModifiedBy>April Cha</cp:lastModifiedBy>
  <cp:revision>3</cp:revision>
  <dcterms:created xsi:type="dcterms:W3CDTF">2018-04-24T15:19:00Z</dcterms:created>
  <dcterms:modified xsi:type="dcterms:W3CDTF">2018-04-24T18:00:00Z</dcterms:modified>
</cp:coreProperties>
</file>